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22" w:rsidRDefault="006B0422">
      <w:bookmarkStart w:id="0" w:name="_GoBack"/>
      <w:bookmarkEnd w:id="0"/>
    </w:p>
    <w:tbl>
      <w:tblPr>
        <w:tblStyle w:val="a"/>
        <w:tblW w:w="87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6B0422">
        <w:tc>
          <w:tcPr>
            <w:tcW w:w="501" w:type="dxa"/>
            <w:vAlign w:val="center"/>
          </w:tcPr>
          <w:p w:rsidR="006B0422" w:rsidRDefault="006B0422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4" w:type="dxa"/>
            <w:vAlign w:val="center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Närvarande: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Patrik Blomquist, Ylva Ericsson, Elisabet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Johan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Larsson,Nina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Karlstedt,Charlotte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(Py)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Dalaryd,Annika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Bruno Knutsson,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Frånvarande: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Johan Claesson, Mikael Holmlund, Ulla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Bohmgren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</w:p>
        </w:tc>
        <w:tc>
          <w:tcPr>
            <w:tcW w:w="1553" w:type="dxa"/>
            <w:vAlign w:val="center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  <w:vAlign w:val="center"/>
          </w:tcPr>
          <w:p w:rsidR="006B0422" w:rsidRDefault="00A806EA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</w:p>
        </w:tc>
        <w:tc>
          <w:tcPr>
            <w:tcW w:w="6664" w:type="dxa"/>
            <w:vAlign w:val="center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Klart senast; verkställs av; bilaga</w:t>
            </w:r>
          </w:p>
        </w:tc>
      </w:tr>
      <w:tr w:rsidR="006B0422"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64" w:type="dxa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Mötet öppnades </w:t>
            </w:r>
            <w:r>
              <w:rPr>
                <w:rFonts w:ascii="Arial" w:eastAsia="Arial" w:hAnsi="Arial" w:cs="Arial"/>
                <w:sz w:val="22"/>
                <w:szCs w:val="22"/>
              </w:rPr>
              <w:t>av Patrik Blomquist</w:t>
            </w: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64" w:type="dxa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 och justerare för mötet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Sekreterare: Annika Bruno Knutsson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Justerare: Py Dalaryd, Elisabet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Holtz</w:t>
            </w:r>
            <w:proofErr w:type="spellEnd"/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64" w:type="dxa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Föregående mötesprotokoll 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 två senaste för oktober och november lades till handlingarna med justering för att novembermötet var den 25 november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för den 26:e och att det är några punkter kvar sedan tidigare.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Kvarstår från tidigare protokoll: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 och Skur har tidigare kunnat äska pengar för viss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verksamhet, t.ex. resor till ledare/personal. Är det så det är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fortfarande? Harriet och Kajsa kontaktas om det.</w:t>
            </w: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undersöker när och om nödsändaren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ska köpas in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och hur stort behov vi har och därmed ska köpa in en eller två.</w:t>
            </w: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Administratörer för Facebook ska kollas upp. </w:t>
            </w: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</w:t>
            </w:r>
          </w:p>
        </w:tc>
      </w:tr>
      <w:tr w:rsidR="006B0422">
        <w:trPr>
          <w:trHeight w:val="520"/>
        </w:trPr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64" w:type="dxa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Ekonomin 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Elisabet redogör för ekonomin.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Vi går mot ett minusresultat på helåret vilket är enligt budget. </w:t>
            </w:r>
          </w:p>
          <w:p w:rsidR="006B0422" w:rsidRDefault="00A806EA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Styrelsen godkänner de belopp som överstiger 10 000 från förra mötet och detta (bilagor 2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).</w:t>
            </w: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64" w:type="dxa"/>
          </w:tcPr>
          <w:p w:rsidR="006B0422" w:rsidRDefault="00A806EA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Riks: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Stadgeändringar från rikskontoret har skickats ut och gås igenom och beslutas på vårt årsmöte.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Region</w:t>
            </w:r>
            <w:r>
              <w:rPr>
                <w:rFonts w:ascii="Arial" w:eastAsia="Arial" w:hAnsi="Arial" w:cs="Arial"/>
                <w:sz w:val="22"/>
                <w:szCs w:val="22"/>
              </w:rPr>
              <w:t>: -</w:t>
            </w: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664" w:type="dxa"/>
          </w:tcPr>
          <w:p w:rsidR="006B0422" w:rsidRDefault="00A806E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Kommunen och Föreningsgården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Föreningsgården – Söker fortfarande en ny ordförande.</w:t>
            </w:r>
          </w:p>
          <w:p w:rsidR="006B0422" w:rsidRDefault="00A806EA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Naturnätverket – Py väntar på protokoll från tidigare möte där. </w:t>
            </w:r>
          </w:p>
          <w:p w:rsidR="006B0422" w:rsidRDefault="006B0422">
            <w:pPr>
              <w:spacing w:before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rPr>
          <w:trHeight w:val="1000"/>
        </w:trPr>
        <w:tc>
          <w:tcPr>
            <w:tcW w:w="501" w:type="dxa"/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664" w:type="dxa"/>
          </w:tcPr>
          <w:p w:rsidR="006B0422" w:rsidRDefault="00A806E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Rapport från grenarna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Freeskiers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Har god tillgång på tränare. Skidskola före och efter sportlovet. Planering av träningsverksamheten pågår. Äskar pengar från toyota för reklam. Bana kommer att sättas varje gång och gäller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freeskiers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och park.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Vandring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Grenledaren slutar i juni. Nya ledare sökes. Vandringar är planerade. 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Äventyrliga vuxna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Hemberedskap föreläsning av Tina Nordén från Civilförsvaret den 3/12.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Programmet för vt20 är klart och ligger på hemsidan. Det var 15 av 19 deltagare som svarade på enkäten. Mycket positiva deltagare. Friluftsteknik med Py och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Skogsbad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var de träffar deltagarna gillade mest under hösten.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Pr="00FC6B4D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6B4D">
              <w:rPr>
                <w:rFonts w:ascii="Arial" w:eastAsia="Arial" w:hAnsi="Arial" w:cs="Arial"/>
                <w:b/>
                <w:sz w:val="22"/>
                <w:szCs w:val="22"/>
              </w:rPr>
              <w:t>Kajak</w:t>
            </w:r>
          </w:p>
          <w:p w:rsidR="00FC6B4D" w:rsidRPr="00FC6B4D" w:rsidRDefault="00FC6B4D" w:rsidP="00FC6B4D">
            <w:pPr>
              <w:rPr>
                <w:sz w:val="22"/>
                <w:szCs w:val="22"/>
              </w:rPr>
            </w:pPr>
            <w:r w:rsidRPr="00FC6B4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Clara har fungerat som samordnare när grenledare saknas. Planeringsmöte efter helgerna.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Pr="00FC6B4D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6B4D">
              <w:rPr>
                <w:rFonts w:ascii="Arial" w:eastAsia="Arial" w:hAnsi="Arial" w:cs="Arial"/>
                <w:b/>
                <w:sz w:val="22"/>
                <w:szCs w:val="22"/>
              </w:rPr>
              <w:t>Vattengymnastik</w:t>
            </w:r>
          </w:p>
          <w:p w:rsidR="00FC6B4D" w:rsidRPr="00FC6B4D" w:rsidRDefault="00FC6B4D" w:rsidP="00FC6B4D">
            <w:pPr>
              <w:rPr>
                <w:sz w:val="22"/>
                <w:szCs w:val="22"/>
              </w:rPr>
            </w:pPr>
            <w:r w:rsidRPr="00FC6B4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Saknar grenledare just nu och Elisabet har fått i uppdrag att kolla hur vårterminen planerats.</w:t>
            </w:r>
          </w:p>
          <w:p w:rsidR="006B0422" w:rsidRPr="00FC6B4D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Pr="00FC6B4D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6B4D">
              <w:rPr>
                <w:rFonts w:ascii="Arial" w:eastAsia="Arial" w:hAnsi="Arial" w:cs="Arial"/>
                <w:b/>
                <w:sz w:val="22"/>
                <w:szCs w:val="22"/>
              </w:rPr>
              <w:t>Fjäll</w:t>
            </w:r>
          </w:p>
          <w:p w:rsidR="00FC6B4D" w:rsidRPr="00FC6B4D" w:rsidRDefault="00FC6B4D" w:rsidP="00FC6B4D">
            <w:pPr>
              <w:rPr>
                <w:sz w:val="22"/>
                <w:szCs w:val="22"/>
              </w:rPr>
            </w:pPr>
            <w:proofErr w:type="spellStart"/>
            <w:r w:rsidRPr="00FC6B4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Stugtur</w:t>
            </w:r>
            <w:proofErr w:type="spellEnd"/>
            <w:r w:rsidRPr="00FC6B4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planerad till Jämtlandsfjällen i april.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Strövare/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Frilufsare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/TVM: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Administrativ träff med ledargänget och säkerhetsplanering var på agendan. Mer information behövs om detta.  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Skridsko</w:t>
            </w: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utbildar sig till ledare. Grenledare behövs.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rPr>
          <w:trHeight w:val="1340"/>
        </w:trPr>
        <w:tc>
          <w:tcPr>
            <w:tcW w:w="501" w:type="dxa"/>
            <w:tcBorders>
              <w:bottom w:val="single" w:sz="4" w:space="0" w:color="000000"/>
            </w:tcBorders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6B0422" w:rsidRDefault="00A806E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Övriga frågor:</w:t>
            </w:r>
          </w:p>
          <w:p w:rsidR="006B0422" w:rsidRDefault="00A806EA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Valberedningen: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Just nu sju personer i styrelsen. De försöker skaffa en till. Alternativet är att bara välja sex övriga ledamöter och sen ha en suppleant. Vilka ska vi föreslå som valberedning?</w:t>
            </w:r>
          </w:p>
          <w:p w:rsidR="006B0422" w:rsidRDefault="006B04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Årsavslutningen: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söndag den 15 mars 17:00. 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Ordförande? Verksamhetsplaner behöver komma in.</w:t>
            </w:r>
          </w:p>
          <w:p w:rsidR="006B0422" w:rsidRDefault="006B04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Elisabet ordnar underlag för att visa upp det ekonomiska underlaget på Power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som Nina kan presentera. Skickas till Patrik. </w:t>
            </w:r>
          </w:p>
          <w:p w:rsidR="006B0422" w:rsidRDefault="006B04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Kommunikation/Programbladet: </w:t>
            </w: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Annika BK och Nina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B0422" w:rsidRDefault="006B042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6B0422">
        <w:tc>
          <w:tcPr>
            <w:tcW w:w="501" w:type="dxa"/>
            <w:tcBorders>
              <w:bottom w:val="single" w:sz="4" w:space="0" w:color="000000"/>
            </w:tcBorders>
          </w:tcPr>
          <w:p w:rsidR="006B0422" w:rsidRDefault="00A806EA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6B0422" w:rsidRDefault="00A806EA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 avslutas samt nästa möte</w:t>
            </w:r>
          </w:p>
          <w:p w:rsidR="006B0422" w:rsidRDefault="00A806EA">
            <w:pPr>
              <w:spacing w:before="240"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Måndag 20 januari v 4</w:t>
            </w:r>
          </w:p>
          <w:p w:rsidR="006B0422" w:rsidRDefault="00A806EA">
            <w:pPr>
              <w:spacing w:before="240"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Måndag 17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februari  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B0422" w:rsidRDefault="006B0422">
      <w:pPr>
        <w:rPr>
          <w:rFonts w:ascii="Arial" w:eastAsia="Arial" w:hAnsi="Arial" w:cs="Arial"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sz w:val="22"/>
          <w:szCs w:val="22"/>
        </w:rPr>
      </w:pPr>
    </w:p>
    <w:p w:rsidR="006B0422" w:rsidRDefault="006B0422"/>
    <w:tbl>
      <w:tblPr>
        <w:tblStyle w:val="a0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6B0422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A806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Vid protokollet: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Ordförande: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</w:t>
            </w: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Annika Bruno Knutsson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Patrik Blomquist</w:t>
            </w: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Justeras: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Justeras: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6B0422" w:rsidRDefault="00A806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Elisabet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                                                        Py Dalaryd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0422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6B042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6B042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0422" w:rsidRDefault="006B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B0422" w:rsidRDefault="006B0422">
      <w:pPr>
        <w:rPr>
          <w:sz w:val="22"/>
          <w:szCs w:val="22"/>
        </w:rPr>
        <w:sectPr w:rsidR="006B0422">
          <w:headerReference w:type="even" r:id="rId8"/>
          <w:headerReference w:type="default" r:id="rId9"/>
          <w:footerReference w:type="default" r:id="rId10"/>
          <w:pgSz w:w="11906" w:h="16838"/>
          <w:pgMar w:top="1417" w:right="1983" w:bottom="1417" w:left="1417" w:header="720" w:footer="720" w:gutter="0"/>
          <w:pgNumType w:start="1"/>
          <w:cols w:space="720" w:equalWidth="0">
            <w:col w:w="9406"/>
          </w:cols>
        </w:sect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p w:rsidR="006B0422" w:rsidRDefault="006B0422">
      <w:pPr>
        <w:rPr>
          <w:rFonts w:ascii="Arial" w:eastAsia="Arial" w:hAnsi="Arial" w:cs="Arial"/>
          <w:b/>
          <w:sz w:val="22"/>
          <w:szCs w:val="22"/>
        </w:rPr>
      </w:pPr>
    </w:p>
    <w:sectPr w:rsidR="006B0422">
      <w:type w:val="continuous"/>
      <w:pgSz w:w="11906" w:h="16838"/>
      <w:pgMar w:top="1417" w:right="1983" w:bottom="1417" w:left="1417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51" w:rsidRDefault="00A47351">
      <w:r>
        <w:separator/>
      </w:r>
    </w:p>
  </w:endnote>
  <w:endnote w:type="continuationSeparator" w:id="0">
    <w:p w:rsidR="00A47351" w:rsidRDefault="00A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FC6B4D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FC6B4D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6B0422" w:rsidRDefault="006B0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51" w:rsidRDefault="00A47351">
      <w:r>
        <w:separator/>
      </w:r>
    </w:p>
  </w:footnote>
  <w:footnote w:type="continuationSeparator" w:id="0">
    <w:p w:rsidR="00A47351" w:rsidRDefault="00A4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0422" w:rsidRDefault="006B0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190993" cy="155911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 xml:space="preserve">Styrelsemöte </w:t>
    </w:r>
    <w:r>
      <w:rPr>
        <w:rFonts w:ascii="Arial" w:eastAsia="Arial" w:hAnsi="Arial" w:cs="Arial"/>
        <w:b/>
        <w:sz w:val="22"/>
        <w:szCs w:val="22"/>
      </w:rPr>
      <w:t>16</w:t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proofErr w:type="gramStart"/>
    <w:r>
      <w:rPr>
        <w:rFonts w:ascii="Arial" w:eastAsia="Arial" w:hAnsi="Arial" w:cs="Arial"/>
        <w:b/>
        <w:sz w:val="22"/>
        <w:szCs w:val="22"/>
      </w:rPr>
      <w:t>December</w:t>
    </w:r>
    <w:proofErr w:type="gramEnd"/>
    <w:r>
      <w:rPr>
        <w:rFonts w:ascii="Arial" w:eastAsia="Arial" w:hAnsi="Arial" w:cs="Arial"/>
        <w:b/>
        <w:color w:val="000000"/>
        <w:sz w:val="22"/>
        <w:szCs w:val="22"/>
      </w:rPr>
      <w:t xml:space="preserve"> 2019</w:t>
    </w:r>
  </w:p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Protokoll nr </w:t>
    </w:r>
    <w:r>
      <w:rPr>
        <w:rFonts w:ascii="Arial" w:eastAsia="Arial" w:hAnsi="Arial" w:cs="Arial"/>
        <w:b/>
        <w:sz w:val="22"/>
        <w:szCs w:val="22"/>
      </w:rPr>
      <w:t xml:space="preserve">8 </w:t>
    </w:r>
  </w:p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6B0422" w:rsidRDefault="00A806EA">
    <w:pP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 xml:space="preserve">Plats: </w:t>
    </w:r>
    <w:r>
      <w:rPr>
        <w:rFonts w:ascii="Arial" w:eastAsia="Arial" w:hAnsi="Arial" w:cs="Arial"/>
        <w:sz w:val="22"/>
        <w:szCs w:val="22"/>
      </w:rPr>
      <w:t>Telefonmöte</w:t>
    </w:r>
  </w:p>
  <w:p w:rsidR="006B0422" w:rsidRDefault="00A806EA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72AD"/>
    <w:multiLevelType w:val="multilevel"/>
    <w:tmpl w:val="583EA4C2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2"/>
    <w:rsid w:val="006B0422"/>
    <w:rsid w:val="00A47351"/>
    <w:rsid w:val="00A806EA"/>
    <w:rsid w:val="00C4590E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30CA56-00C2-D845-9C13-DDEE9D5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jYSa7va02EPZ9BSvc4L33n1xw==">AMUW2mXGNOyfhrKUsKwYIVq93cpvgQDgAGBIRnXLCMzFzDV8tZXBIwpLvR1b595gjv8RJSSfkt/g0krcNDXK/IfYI5aG+anuhTn8BHsXE8AuVQyV00YTVenqpjht/bo95O6FKrXibRCR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annika bruno</cp:lastModifiedBy>
  <cp:revision>2</cp:revision>
  <dcterms:created xsi:type="dcterms:W3CDTF">2019-12-29T09:32:00Z</dcterms:created>
  <dcterms:modified xsi:type="dcterms:W3CDTF">2019-12-29T09:32:00Z</dcterms:modified>
</cp:coreProperties>
</file>