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66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0"/>
        <w:gridCol w:w="5716"/>
        <w:gridCol w:w="2076"/>
        <w:tblGridChange w:id="0">
          <w:tblGrid>
            <w:gridCol w:w="870"/>
            <w:gridCol w:w="5716"/>
            <w:gridCol w:w="207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1">
            <w:pPr>
              <w:pStyle w:val="Heading2"/>
              <w:spacing w:after="144" w:before="144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Närvarande: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Patrik Blomquist, Annika Bruno Knutsson, Ylva Ericsson, Johan Claesson, Per Larsén, Elisabet Holtz, Cecilia Eriksson, Py Dalaryd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Adjungerad:  Mikael Holmlund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Frånvarande: Ulla Bohmgren, Johan Larsson och Joakim Dahl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6">
            <w:pPr>
              <w:pStyle w:val="Heading2"/>
              <w:spacing w:after="144" w:before="144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Ämne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Klart senast; verkställs av; bilaga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Mötet öppnades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Patrik (ordf.) önskade alla välkomna och öppnade mötet.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 av sekreterare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Styrelsen beslutade att välja Annika Bruno Knutsson som sekreterare för mötet.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§3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 av justeringsperson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Styrelsen beslutade att välja Per Larsén och Py Dalaryd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 justera protokollet.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§4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Godkännande av dagordning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Styrelsen beslutade att godkänna dagordningen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§5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Föregående protokoll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Patrik föredrog föregående protokoll. Styrelsen beslutade att godkänna föregående protokoll från Styrelsemötet i Lidingö lokalavdelning 190114 och lägga det till handlingarna.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§6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Ekonomin </w:t>
            </w:r>
          </w:p>
          <w:p w:rsidR="00000000" w:rsidDel="00000000" w:rsidP="00000000" w:rsidRDefault="00000000" w:rsidRPr="00000000" w14:paraId="00000021">
            <w:pPr>
              <w:spacing w:after="160" w:line="25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Elisabet gick igenom rapporterna från december och meddelar att det gemensamma resultatet varit bättre än det budgeterade.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Vi har inte fått och kommer inte att få något månadsresultat för januari. Det första månadsresultatet för 2019 tas fram per 28 februari.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60" w:line="25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Revisionen av årsbokslut pågår.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60" w:line="25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4">
            <w:pPr>
              <w:spacing w:after="160" w:line="25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Elisabet redovisade en budget för kommande verksamhetsår. Pengar satsas bl a på ledarvård och utbildning vilket bidrar till ett underskott i resultatet   </w:t>
            </w:r>
          </w:p>
          <w:p w:rsidR="00000000" w:rsidDel="00000000" w:rsidP="00000000" w:rsidRDefault="00000000" w:rsidRPr="00000000" w14:paraId="00000025">
            <w:pPr>
              <w:spacing w:after="160" w:line="25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Styrelsen fastställde den redovisade budgeten. </w:t>
            </w:r>
          </w:p>
          <w:p w:rsidR="00000000" w:rsidDel="00000000" w:rsidP="00000000" w:rsidRDefault="00000000" w:rsidRPr="00000000" w14:paraId="00000026">
            <w:pPr>
              <w:spacing w:after="160" w:line="25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Nya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Föreningsgårdens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ägare JM har varslat om att man vill höja hyran. Det lär röra sig om relativt måttliga kostnader för vår del, men huvudproblemet är att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Föreningsgårdens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ekonomi är ansträngd och i värsta fall kan man inte behålla lokalerna. Vi måste börja fundera på hur vi gör då.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Elisabet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178"/>
              </w:tabs>
              <w:spacing w:after="144" w:before="144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§7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Riks och Regionen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Riks: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  <w:br w:type="textWrapping"/>
              <w:t xml:space="preserve">Patrik informerar om nya regler kring utdrag från belastningsregistret (interna hemsidan). Patrik ansvarar för att berörda blir informerade om ändringen och följer upp implementeringen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Årsstämma den 25/5 där vi ska se över och ansvara för eventuell vandring dagen efter (26/5).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Region: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  <w:br w:type="textWrapping"/>
              <w:t xml:space="preserve">Årsstämma 6/4, Södertälje, Tom Tits. 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Patrik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Per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§8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Kommunen och Föreningsgården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Kommunen: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br w:type="textWrapping"/>
              <w:t xml:space="preserve">Per Larsén har blivit nominerad till “</w:t>
            </w:r>
            <w:r w:rsidDel="00000000" w:rsidR="00000000" w:rsidRPr="00000000">
              <w:rPr>
                <w:rFonts w:ascii="Arial" w:cs="Arial" w:eastAsia="Arial" w:hAnsi="Arial"/>
                <w:color w:val="111111"/>
                <w:sz w:val="22"/>
                <w:szCs w:val="22"/>
                <w:highlight w:val="white"/>
                <w:rtl w:val="0"/>
              </w:rPr>
              <w:t xml:space="preserve">Min lokala </w:t>
            </w:r>
            <w:r w:rsidDel="00000000" w:rsidR="00000000" w:rsidRPr="00000000">
              <w:rPr>
                <w:rFonts w:ascii="Arial" w:cs="Arial" w:eastAsia="Arial" w:hAnsi="Arial"/>
                <w:color w:val="111111"/>
                <w:sz w:val="22"/>
                <w:szCs w:val="22"/>
                <w:highlight w:val="white"/>
                <w:rtl w:val="0"/>
              </w:rPr>
              <w:t xml:space="preserve">Lidingöhjälte</w:t>
            </w:r>
            <w:r w:rsidDel="00000000" w:rsidR="00000000" w:rsidRPr="00000000">
              <w:rPr>
                <w:rFonts w:ascii="Arial" w:cs="Arial" w:eastAsia="Arial" w:hAnsi="Arial"/>
                <w:color w:val="111111"/>
                <w:sz w:val="22"/>
                <w:szCs w:val="22"/>
                <w:highlight w:val="white"/>
                <w:rtl w:val="0"/>
              </w:rPr>
              <w:t xml:space="preserve">” i tidningen Mitt I Lidingö publicerat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12 februari  2019. Styrelsen önskar Grattis! 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1"/>
                <w:szCs w:val="21"/>
                <w:highlight w:val="white"/>
                <w:rtl w:val="0"/>
              </w:rPr>
              <w:t xml:space="preserve">Föreningsgården: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Årsmöte 11 mars. Micke och Patrik går. 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Micke och Patrik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§9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Årsmötet 2019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Ordförande klar?: Lars Heins.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Diskuterade om nya personer till valberedningen och till styrelsen. Några förslag kom upp som kan bli aktuella om de samtycker.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 verksamhetsberättelse (förutom grenarna) ska också avsnitt om ledarvård och kommunikation finnas. 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Ny verksamhetsplan pågår.  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Förberedelser kring förtäring pågår.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Patrik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Per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Per / Ledarvårdsgruppen 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Patrik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Cecilia</w:t>
            </w:r>
          </w:p>
        </w:tc>
      </w:tr>
      <w:tr>
        <w:trPr>
          <w:trHeight w:val="5080" w:hRule="atLeast"/>
        </w:trPr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§10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before="120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Rapport från grenarna</w:t>
            </w:r>
          </w:p>
          <w:p w:rsidR="00000000" w:rsidDel="00000000" w:rsidP="00000000" w:rsidRDefault="00000000" w:rsidRPr="00000000" w14:paraId="0000005D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Kontaktpersonerna för sin gren redogör:</w:t>
            </w:r>
          </w:p>
          <w:p w:rsidR="00000000" w:rsidDel="00000000" w:rsidP="00000000" w:rsidRDefault="00000000" w:rsidRPr="00000000" w14:paraId="0000005E">
            <w:pPr>
              <w:spacing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Alpina/Freeskiers: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Avslutat skidskolan som alla gånger åktes på snö! Haft event i backen. Enkät ska skickas ut till föräldrar ang nöjdhet med skidskolan. Har behov av “planare” skidbacke för nybörjarna.. 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Strövarna/Frilufsarna/TVM: </w:t>
            </w: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Har stort behov av ledare. Ska kontakta föräldrar i Ur och skur och höra där. Alla som anmäler sig till strövarna eller liknande får information om att bli ledare. Kan ungdomarna rekryteras? Py sa informera förskolecheferna/rektorerna  om vi kan komma och föreläsa på föräldramöten. 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Äventyrliga vuxna och funkis: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inget att rapportera. 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Sommar- och vinterfjäll: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Samordning med Studiefrämjandet ang. studiecirkel inför fjälltur.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Skridsko: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Lyckad skridskotur i helgen innan varmare väder.   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Vandring och Sommarfjäll: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Till Grövelsjön tillsammans med Mälardalen i oktober. 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4444"/>
                <w:sz w:val="22"/>
                <w:szCs w:val="22"/>
                <w:rtl w:val="0"/>
              </w:rPr>
              <w:t xml:space="preserve">MTB: </w:t>
            </w: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rtl w:val="0"/>
              </w:rPr>
              <w:t xml:space="preserve">inget att rapportera</w:t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4444"/>
                <w:sz w:val="22"/>
                <w:szCs w:val="22"/>
                <w:rtl w:val="0"/>
              </w:rPr>
              <w:t xml:space="preserve">Kajak: </w:t>
            </w: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rtl w:val="0"/>
              </w:rPr>
              <w:t xml:space="preserve">inget att rapportera</w:t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4444"/>
                <w:sz w:val="22"/>
                <w:szCs w:val="22"/>
                <w:rtl w:val="0"/>
              </w:rPr>
              <w:t xml:space="preserve">Internationella: </w:t>
            </w: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rtl w:val="0"/>
              </w:rPr>
              <w:t xml:space="preserve">inget att rapportera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color w:val="444444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4444"/>
                <w:sz w:val="22"/>
                <w:szCs w:val="22"/>
                <w:rtl w:val="0"/>
              </w:rPr>
              <w:t xml:space="preserve">Vattengympa: </w:t>
            </w: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rtl w:val="0"/>
              </w:rPr>
              <w:t xml:space="preserve">inget att rapportera</w:t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Py, Ylva.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Patrik följer upp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§11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Kommunikation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På webbplatsen “Upplev Lidingö”  är vi nu representerade. Diskussion kring hur vi skulle kunna använda den portalen mer för marknadsföring.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sz w:val="22"/>
                  <w:szCs w:val="22"/>
                  <w:u w:val="single"/>
                  <w:rtl w:val="0"/>
                </w:rPr>
                <w:t xml:space="preserve">https://www.upplevlidingo.com/sv/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Ett nyhetsbrev har skickats ut i februari till alla medlemmar. Öppningsfrekvensen är ungefär 60%.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Styrelsen diskuterade vad “friluftsliv för alla” innebär och hur vi skulle kunna rikta insatser till dessa “alla”.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Per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§12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Ledarvård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Enkät, till de som slutat som ledare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har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gått ut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till 35 personer. Inväntar svar.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Kläder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, Styrelsen beslutar att köpa in fleecetröjan för dam och herr som ledargruppen tagit fram, ca 50 st med tryck på vänster bröst (vildmannen m Lidingö) och LEDARE (text) på höger ärm.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 Exkluderade är: I Ur och skur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och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Freeskiers som köper in egna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kläder samt vattengympan. Logistiken kring inköp och beställning organiseras av ledarvårdsgruppen. Beräknad kostnad ca 25 000 kr.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Aktivitet, Styrelsen beslutar om Ledaraktivitet den 8 mars i Ekholmsnäsbacken, 19.00-20.00. Ledare och styrelsen med familjer. Subventionering för ledarna som bekostas av lokalavdelningen (liftkort och mat).  Freeskiers hjälper till i backen.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Utbildning, HLR (Hjärt-lungräddning) med Röda Korset bokat 2/4.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Annika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Annika, Ylva och Py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Annika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§13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Post in post 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§14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pStyle w:val="Heading2"/>
              <w:keepNext w:val="0"/>
              <w:spacing w:after="80" w:before="36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Nästa styrelsemöte</w:t>
            </w:r>
            <w:r w:rsidDel="00000000" w:rsidR="00000000" w:rsidRPr="00000000">
              <w:rPr>
                <w:rFonts w:ascii="Arial" w:cs="Arial" w:eastAsia="Arial" w:hAnsi="Arial"/>
                <w:sz w:val="34"/>
                <w:szCs w:val="34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sz w:val="22"/>
                <w:szCs w:val="22"/>
                <w:rtl w:val="0"/>
              </w:rPr>
              <w:t xml:space="preserve">Styrelsen beslutade att förlägga nästa styrelsemöte till Årsmötet den 10 mars 2019 kl 17.00, i Föreningsgårdens aula.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§15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Mötets avsluta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nde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Ordförande tackade alla närvarande och förklarade mötet avslutat.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4" w:before="144" w:lineRule="auto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Vid protokollet:</w:t>
        <w:tab/>
        <w:tab/>
        <w:tab/>
        <w:tab/>
        <w:t xml:space="preserve">Ordförande:</w:t>
        <w:tab/>
        <w:t xml:space="preserve">               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i w:val="1"/>
          <w:color w:val="000000"/>
          <w:sz w:val="22"/>
          <w:szCs w:val="22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i w:val="1"/>
          <w:color w:val="000000"/>
          <w:sz w:val="22"/>
          <w:szCs w:val="22"/>
        </w:rPr>
      </w:pPr>
      <w:bookmarkStart w:colFirst="0" w:colLast="0" w:name="_2et92p0" w:id="4"/>
      <w:bookmarkEnd w:id="4"/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Annika  Bruno Knutsson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ab/>
        <w:tab/>
        <w:tab/>
        <w:t xml:space="preserve">Patrik Blomquist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Justeras:</w:t>
        <w:tab/>
        <w:tab/>
        <w:tab/>
        <w:tab/>
        <w:tab/>
        <w:t xml:space="preserve">Justeras:</w:t>
        <w:tab/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Py Dalaryd</w:t>
        <w:tab/>
        <w:tab/>
        <w:tab/>
        <w:tab/>
        <w:tab/>
        <w:t xml:space="preserve">Per Larsén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ab/>
        <w:tab/>
        <w:tab/>
      </w:r>
    </w:p>
    <w:sectPr>
      <w:headerReference r:id="rId7" w:type="default"/>
      <w:headerReference r:id="rId8" w:type="even"/>
      <w:footerReference r:id="rId9" w:type="default"/>
      <w:pgSz w:h="16838" w:w="11906"/>
      <w:pgMar w:bottom="1417" w:top="1417" w:left="1417" w:right="198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Sida </w:t>
    </w:r>
    <w:r w:rsidDel="00000000" w:rsidR="00000000" w:rsidRPr="00000000">
      <w:rPr>
        <w:rFonts w:ascii="Arial" w:cs="Arial" w:eastAsia="Arial" w:hAnsi="Arial"/>
        <w:b w:val="1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 av </w:t>
    </w:r>
    <w:r w:rsidDel="00000000" w:rsidR="00000000" w:rsidRPr="00000000">
      <w:rPr>
        <w:rFonts w:ascii="Arial" w:cs="Arial" w:eastAsia="Arial" w:hAnsi="Arial"/>
        <w:b w:val="1"/>
        <w:color w:val="00000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3119"/>
      </w:tabs>
      <w:ind w:right="360"/>
      <w:rPr>
        <w:rFonts w:ascii="Arial" w:cs="Arial" w:eastAsia="Arial" w:hAnsi="Arial"/>
        <w:b w:val="1"/>
        <w:color w:val="000000"/>
        <w:sz w:val="22"/>
        <w:szCs w:val="22"/>
      </w:rPr>
    </w:pPr>
    <w:r w:rsidDel="00000000" w:rsidR="00000000" w:rsidRPr="00000000">
      <w:rPr>
        <w:color w:val="000000"/>
      </w:rPr>
      <w:drawing>
        <wp:inline distB="0" distT="0" distL="0" distR="0">
          <wp:extent cx="1323975" cy="952500"/>
          <wp:effectExtent b="0" l="0" r="0" t="0"/>
          <wp:docPr id="1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3975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           </w:t>
      <w:tab/>
      <w:t xml:space="preserve">                                      </w:t>
    </w:r>
    <w:r w:rsidDel="00000000" w:rsidR="00000000" w:rsidRPr="00000000">
      <w:rPr>
        <w:rFonts w:ascii="Arial" w:cs="Arial" w:eastAsia="Arial" w:hAnsi="Arial"/>
        <w:b w:val="1"/>
        <w:color w:val="000000"/>
        <w:sz w:val="22"/>
        <w:szCs w:val="22"/>
        <w:rtl w:val="0"/>
      </w:rPr>
      <w:t xml:space="preserve">Styrelsemöte </w:t>
    </w: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18 februari 2019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3119"/>
      </w:tabs>
      <w:ind w:right="360"/>
      <w:rPr>
        <w:rFonts w:ascii="Arial" w:cs="Arial" w:eastAsia="Arial" w:hAnsi="Arial"/>
        <w:color w:val="ff0000"/>
        <w:sz w:val="22"/>
        <w:szCs w:val="22"/>
        <w:highlight w:val="yellow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2"/>
        <w:szCs w:val="22"/>
        <w:rtl w:val="0"/>
      </w:rPr>
      <w:tab/>
      <w:t xml:space="preserve">        </w:t>
      <w:tab/>
      <w:t xml:space="preserve">                         Protokoll nr </w:t>
    </w: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3912" w:firstLine="1304.0000000000005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       </w:t>
    </w:r>
  </w:p>
  <w:p w:rsidR="00000000" w:rsidDel="00000000" w:rsidP="00000000" w:rsidRDefault="00000000" w:rsidRPr="00000000" w14:paraId="000000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i w:val="1"/>
        <w:color w:val="000000"/>
        <w:sz w:val="32"/>
        <w:szCs w:val="32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    </w:t>
      <w:tab/>
      <w:tab/>
      <w:tab/>
      <w:t xml:space="preserve">                                          Plats: Föreningsgården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3119"/>
      </w:tabs>
      <w:ind w:right="360"/>
      <w:rPr>
        <w:rFonts w:ascii="Arial" w:cs="Arial" w:eastAsia="Arial" w:hAnsi="Arial"/>
        <w:b w:val="1"/>
        <w:color w:val="000000"/>
        <w:sz w:val="22"/>
        <w:szCs w:val="22"/>
      </w:rPr>
    </w:pPr>
    <w:r w:rsidDel="00000000" w:rsidR="00000000" w:rsidRPr="00000000">
      <w:rPr>
        <w:color w:val="000000"/>
        <w:rtl w:val="0"/>
      </w:rPr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3119"/>
      </w:tabs>
      <w:ind w:right="360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b w:val="1"/>
      <w:color w:val="000000"/>
      <w:sz w:val="13"/>
      <w:szCs w:val="13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upplevlidingo.com/sv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